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73DE" w14:textId="291CFCF1" w:rsidR="00A01B2F" w:rsidRPr="000B36F6" w:rsidRDefault="00CE13B5" w:rsidP="00A01B2F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AMP DEI Status Report: </w:t>
      </w:r>
      <w:r w:rsidR="00096BBD">
        <w:rPr>
          <w:rFonts w:eastAsia="Times New Roman" w:cstheme="minorHAnsi"/>
          <w:b/>
          <w:bCs/>
        </w:rPr>
        <w:t>April</w:t>
      </w:r>
      <w:r>
        <w:rPr>
          <w:rFonts w:eastAsia="Times New Roman" w:cstheme="minorHAnsi"/>
          <w:b/>
          <w:bCs/>
        </w:rPr>
        <w:t xml:space="preserve"> 2022</w:t>
      </w:r>
    </w:p>
    <w:p w14:paraId="51DAF8F8" w14:textId="5D56DBAA" w:rsidR="00A01B2F" w:rsidRPr="006558BF" w:rsidRDefault="00A01B2F" w:rsidP="00A01B2F">
      <w:pPr>
        <w:rPr>
          <w:rFonts w:eastAsia="Times New Roman" w:cstheme="minorHAnsi"/>
        </w:rPr>
      </w:pPr>
      <w:r w:rsidRPr="000B36F6">
        <w:rPr>
          <w:rFonts w:eastAsia="Times New Roman" w:cstheme="minorHAnsi"/>
        </w:rPr>
        <w:t xml:space="preserve">In June 2020, AMP issued an </w:t>
      </w:r>
      <w:hyperlink r:id="rId5" w:history="1">
        <w:r w:rsidRPr="000B36F6">
          <w:rPr>
            <w:rStyle w:val="Hyperlink"/>
            <w:rFonts w:eastAsia="Times New Roman" w:cstheme="minorHAnsi"/>
          </w:rPr>
          <w:t>open letter to the AMP community</w:t>
        </w:r>
      </w:hyperlink>
      <w:r w:rsidRPr="000B36F6">
        <w:rPr>
          <w:rFonts w:eastAsia="Times New Roman" w:cstheme="minorHAnsi"/>
        </w:rPr>
        <w:t xml:space="preserve"> outlining the efforts that we would make as an organization to ensure a diverse, equitable, and inclusive environment for our </w:t>
      </w:r>
      <w:r w:rsidR="00AF2997" w:rsidRPr="000B36F6">
        <w:rPr>
          <w:rFonts w:eastAsia="Times New Roman" w:cstheme="minorHAnsi"/>
        </w:rPr>
        <w:t>members and staff</w:t>
      </w:r>
      <w:r w:rsidRPr="000B36F6">
        <w:rPr>
          <w:rFonts w:eastAsia="Times New Roman" w:cstheme="minorHAnsi"/>
        </w:rPr>
        <w:t>, and to incorporate diversity, equity, and inclusion (DEI) into the core principles by which we operate. Since that time:</w:t>
      </w:r>
    </w:p>
    <w:p w14:paraId="588E1C75" w14:textId="3771E731" w:rsidR="00A01B2F" w:rsidRPr="000B36F6" w:rsidRDefault="00A01B2F" w:rsidP="00A01B2F">
      <w:pPr>
        <w:pStyle w:val="ListParagraph"/>
        <w:numPr>
          <w:ilvl w:val="0"/>
          <w:numId w:val="1"/>
        </w:numPr>
        <w:rPr>
          <w:rFonts w:cstheme="minorHAnsi"/>
        </w:rPr>
      </w:pPr>
      <w:r w:rsidRPr="000B36F6">
        <w:rPr>
          <w:rFonts w:eastAsia="Times New Roman" w:cstheme="minorHAnsi"/>
        </w:rPr>
        <w:t xml:space="preserve">AMP retained </w:t>
      </w:r>
      <w:hyperlink r:id="rId6" w:history="1">
        <w:r w:rsidRPr="000B36F6">
          <w:rPr>
            <w:rStyle w:val="Hyperlink"/>
            <w:rFonts w:eastAsia="Times New Roman" w:cstheme="minorHAnsi"/>
          </w:rPr>
          <w:t>The Diversity Movement</w:t>
        </w:r>
      </w:hyperlink>
      <w:r w:rsidRPr="000B36F6">
        <w:rPr>
          <w:rFonts w:eastAsia="Times New Roman" w:cstheme="minorHAnsi"/>
        </w:rPr>
        <w:t xml:space="preserve"> (TDM) to provide expertise through a robust DEI assessment process. Listening sessions, surveys and trainings tailored to various stakeholders in our community – including AMP leadership, members and staff – </w:t>
      </w:r>
      <w:r w:rsidR="00565774">
        <w:rPr>
          <w:rFonts w:eastAsia="Times New Roman" w:cstheme="minorHAnsi"/>
        </w:rPr>
        <w:t>are</w:t>
      </w:r>
      <w:r w:rsidRPr="000B36F6">
        <w:rPr>
          <w:rFonts w:eastAsia="Times New Roman" w:cstheme="minorHAnsi"/>
        </w:rPr>
        <w:t xml:space="preserve"> conducted on a purposeful </w:t>
      </w:r>
      <w:proofErr w:type="gramStart"/>
      <w:r w:rsidRPr="000B36F6">
        <w:rPr>
          <w:rFonts w:eastAsia="Times New Roman" w:cstheme="minorHAnsi"/>
        </w:rPr>
        <w:t>timeline, and</w:t>
      </w:r>
      <w:proofErr w:type="gramEnd"/>
      <w:r w:rsidRPr="000B36F6">
        <w:rPr>
          <w:rFonts w:eastAsia="Times New Roman" w:cstheme="minorHAnsi"/>
        </w:rPr>
        <w:t xml:space="preserve"> will continue </w:t>
      </w:r>
      <w:r w:rsidR="00533735">
        <w:rPr>
          <w:rFonts w:eastAsia="Times New Roman" w:cstheme="minorHAnsi"/>
        </w:rPr>
        <w:t>into the future</w:t>
      </w:r>
      <w:r w:rsidR="00DA1FE2" w:rsidRPr="000B36F6">
        <w:rPr>
          <w:rFonts w:eastAsia="Times New Roman" w:cstheme="minorHAnsi"/>
        </w:rPr>
        <w:t xml:space="preserve">. </w:t>
      </w:r>
      <w:r w:rsidR="00032E41" w:rsidRPr="000B36F6">
        <w:rPr>
          <w:rFonts w:eastAsia="Times New Roman" w:cstheme="minorHAnsi"/>
        </w:rPr>
        <w:t>TDM has worked with AMP to identify a roadmap to accomplish the commitments we made to our community in 2020 and to identify an even more expansive list of goals</w:t>
      </w:r>
      <w:r w:rsidR="003C61E5" w:rsidRPr="000B36F6">
        <w:rPr>
          <w:rFonts w:eastAsia="Times New Roman" w:cstheme="minorHAnsi"/>
        </w:rPr>
        <w:t xml:space="preserve"> for our organization (see </w:t>
      </w:r>
      <w:r w:rsidR="00976E2B">
        <w:rPr>
          <w:rFonts w:eastAsia="Times New Roman" w:cstheme="minorHAnsi"/>
        </w:rPr>
        <w:t xml:space="preserve">“What’s Next” section </w:t>
      </w:r>
      <w:r w:rsidR="003C61E5" w:rsidRPr="000B36F6">
        <w:rPr>
          <w:rFonts w:eastAsia="Times New Roman" w:cstheme="minorHAnsi"/>
        </w:rPr>
        <w:t>below).</w:t>
      </w:r>
    </w:p>
    <w:p w14:paraId="5EE69097" w14:textId="576AED68" w:rsidR="00A01B2F" w:rsidRPr="000B36F6" w:rsidRDefault="00A01B2F" w:rsidP="00A01B2F">
      <w:pPr>
        <w:pStyle w:val="ListParagraph"/>
        <w:numPr>
          <w:ilvl w:val="0"/>
          <w:numId w:val="1"/>
        </w:numPr>
        <w:rPr>
          <w:rFonts w:cstheme="minorHAnsi"/>
        </w:rPr>
      </w:pPr>
      <w:r w:rsidRPr="000B36F6">
        <w:rPr>
          <w:rFonts w:eastAsia="Times New Roman" w:cstheme="minorHAnsi"/>
        </w:rPr>
        <w:t xml:space="preserve">Following an application and selection process spearheaded by the Membership Affairs Committee, AMP installed a </w:t>
      </w:r>
      <w:hyperlink r:id="rId7" w:history="1">
        <w:r w:rsidRPr="000B36F6">
          <w:rPr>
            <w:rStyle w:val="Hyperlink"/>
            <w:rFonts w:eastAsia="Times New Roman" w:cstheme="minorHAnsi"/>
          </w:rPr>
          <w:t>Diversity, Equity, and Inclusion Working Group</w:t>
        </w:r>
      </w:hyperlink>
      <w:r w:rsidRPr="000B36F6">
        <w:rPr>
          <w:rFonts w:eastAsia="Times New Roman" w:cstheme="minorHAnsi"/>
        </w:rPr>
        <w:t xml:space="preserve"> , which meets regularly and recently hosted its first in a series</w:t>
      </w:r>
      <w:r w:rsidR="00533735">
        <w:rPr>
          <w:rFonts w:eastAsia="Times New Roman" w:cstheme="minorHAnsi"/>
        </w:rPr>
        <w:t xml:space="preserve"> of </w:t>
      </w:r>
      <w:r w:rsidRPr="000B36F6">
        <w:rPr>
          <w:rFonts w:eastAsia="Times New Roman" w:cstheme="minorHAnsi"/>
        </w:rPr>
        <w:t xml:space="preserve"> </w:t>
      </w:r>
      <w:hyperlink r:id="rId8" w:history="1">
        <w:r w:rsidRPr="000B36F6">
          <w:rPr>
            <w:rStyle w:val="Hyperlink"/>
            <w:rFonts w:eastAsia="Times New Roman" w:cstheme="minorHAnsi"/>
          </w:rPr>
          <w:t>Virtual DEI Member Engagement Events</w:t>
        </w:r>
      </w:hyperlink>
      <w:r w:rsidRPr="000B36F6">
        <w:rPr>
          <w:rFonts w:eastAsia="Times New Roman" w:cstheme="minorHAnsi"/>
        </w:rPr>
        <w:t xml:space="preserve">. As of spring 2022, AMP staff are also working on building a similar working group to hold themselves to these same standards of excellence. </w:t>
      </w:r>
    </w:p>
    <w:p w14:paraId="4E45D3C3" w14:textId="77777777" w:rsidR="00A01B2F" w:rsidRPr="000B36F6" w:rsidRDefault="00A01B2F" w:rsidP="00A01B2F">
      <w:pPr>
        <w:pStyle w:val="ListParagraph"/>
        <w:numPr>
          <w:ilvl w:val="0"/>
          <w:numId w:val="1"/>
        </w:numPr>
        <w:rPr>
          <w:rFonts w:cstheme="minorHAnsi"/>
        </w:rPr>
      </w:pPr>
      <w:r w:rsidRPr="000B36F6">
        <w:rPr>
          <w:rFonts w:eastAsia="Times New Roman" w:cstheme="minorHAnsi"/>
        </w:rPr>
        <w:t xml:space="preserve">We have introduced </w:t>
      </w:r>
      <w:hyperlink r:id="rId9" w:history="1">
        <w:r w:rsidRPr="000B36F6">
          <w:rPr>
            <w:rStyle w:val="Hyperlink"/>
            <w:rFonts w:eastAsia="Times New Roman" w:cstheme="minorHAnsi"/>
          </w:rPr>
          <w:t>new award categories</w:t>
        </w:r>
      </w:hyperlink>
      <w:r w:rsidRPr="000B36F6">
        <w:rPr>
          <w:rFonts w:eastAsia="Times New Roman" w:cstheme="minorHAnsi"/>
        </w:rPr>
        <w:t xml:space="preserve"> to help foster advancement opportunities to Underrepresented in Medicine communities. In addition, all AMP committees and working groups have been charged with holistically incorporating DEI into their application and/or recruitment processes. From speaker and award selections to identifying volunteers for practice guidelines or committee positions, AMP pledges to keep our commitment to DEI front and center. </w:t>
      </w:r>
    </w:p>
    <w:p w14:paraId="67D9B0AF" w14:textId="77777777" w:rsidR="00A01B2F" w:rsidRPr="000B36F6" w:rsidRDefault="00A01B2F" w:rsidP="00A01B2F">
      <w:pPr>
        <w:pStyle w:val="ListParagraph"/>
        <w:numPr>
          <w:ilvl w:val="0"/>
          <w:numId w:val="1"/>
        </w:numPr>
        <w:rPr>
          <w:rFonts w:cstheme="minorHAnsi"/>
        </w:rPr>
      </w:pPr>
      <w:r w:rsidRPr="000B36F6">
        <w:rPr>
          <w:rFonts w:eastAsia="Times New Roman" w:cstheme="minorHAnsi"/>
        </w:rPr>
        <w:t xml:space="preserve">Most recently, AMP’s Board of Directors extensively reviewed and enhanced our DEI Commitment and the organization’s Core Principles. </w:t>
      </w:r>
    </w:p>
    <w:p w14:paraId="255C2967" w14:textId="445E36EB" w:rsidR="00A01B2F" w:rsidRDefault="00A01B2F" w:rsidP="00A01B2F">
      <w:pPr>
        <w:pStyle w:val="ListParagraph"/>
        <w:ind w:left="360"/>
        <w:rPr>
          <w:rFonts w:cstheme="minorHAnsi"/>
        </w:rPr>
      </w:pPr>
    </w:p>
    <w:p w14:paraId="1D2233AB" w14:textId="77777777" w:rsidR="00A01B2F" w:rsidRPr="000B36F6" w:rsidRDefault="00A01B2F" w:rsidP="00A01B2F">
      <w:pPr>
        <w:rPr>
          <w:rFonts w:cstheme="minorHAnsi"/>
          <w:b/>
          <w:bCs/>
        </w:rPr>
      </w:pPr>
      <w:r w:rsidRPr="000B36F6">
        <w:rPr>
          <w:rFonts w:cstheme="minorHAnsi"/>
          <w:b/>
          <w:bCs/>
        </w:rPr>
        <w:t>What’s Next?</w:t>
      </w:r>
    </w:p>
    <w:p w14:paraId="0EF764B1" w14:textId="1954155E" w:rsidR="006558BF" w:rsidRDefault="00A01B2F" w:rsidP="00A01B2F">
      <w:pPr>
        <w:rPr>
          <w:rFonts w:eastAsia="Times New Roman" w:cstheme="minorHAnsi"/>
        </w:rPr>
      </w:pPr>
      <w:r w:rsidRPr="000B36F6">
        <w:rPr>
          <w:rFonts w:cstheme="minorHAnsi"/>
        </w:rPr>
        <w:t xml:space="preserve">In addition to building on the </w:t>
      </w:r>
      <w:r w:rsidR="00976E2B">
        <w:rPr>
          <w:rFonts w:cstheme="minorHAnsi"/>
        </w:rPr>
        <w:t>necessary</w:t>
      </w:r>
      <w:r w:rsidRPr="000B36F6">
        <w:rPr>
          <w:rFonts w:cstheme="minorHAnsi"/>
        </w:rPr>
        <w:t xml:space="preserve"> work we’ve implemented thus far, AMP adopted a</w:t>
      </w:r>
      <w:r w:rsidR="006558BF">
        <w:rPr>
          <w:rFonts w:cstheme="minorHAnsi"/>
        </w:rPr>
        <w:t xml:space="preserve"> DEI </w:t>
      </w:r>
      <w:r w:rsidRPr="000B36F6">
        <w:rPr>
          <w:rFonts w:cstheme="minorHAnsi"/>
        </w:rPr>
        <w:t xml:space="preserve">Action Plan </w:t>
      </w:r>
      <w:r w:rsidR="006558BF">
        <w:rPr>
          <w:rFonts w:cstheme="minorHAnsi"/>
        </w:rPr>
        <w:t xml:space="preserve">in February 2022 to achieve goals that are </w:t>
      </w:r>
      <w:r w:rsidR="006558BF">
        <w:rPr>
          <w:rFonts w:eastAsia="Times New Roman" w:cstheme="minorHAnsi"/>
        </w:rPr>
        <w:t>specific, measurable, achievable, relevant and timebound (SMART). We will evaluate our progress at Board and staff meetings biannually and will work to keep the community informed of our efforts as we move forward.</w:t>
      </w:r>
    </w:p>
    <w:p w14:paraId="2695A31E" w14:textId="290A882B" w:rsidR="00A01B2F" w:rsidRPr="000B36F6" w:rsidRDefault="00F601ED" w:rsidP="00A01B2F">
      <w:pPr>
        <w:rPr>
          <w:rFonts w:cstheme="minorHAnsi"/>
        </w:rPr>
      </w:pPr>
      <w:r>
        <w:rPr>
          <w:rFonts w:eastAsia="Times New Roman" w:cstheme="minorHAnsi"/>
        </w:rPr>
        <w:t>While th</w:t>
      </w:r>
      <w:r w:rsidR="00485CAC">
        <w:rPr>
          <w:rFonts w:eastAsia="Times New Roman" w:cstheme="minorHAnsi"/>
        </w:rPr>
        <w:t>e internal</w:t>
      </w:r>
      <w:r>
        <w:rPr>
          <w:rFonts w:eastAsia="Times New Roman" w:cstheme="minorHAnsi"/>
        </w:rPr>
        <w:t xml:space="preserve"> action plan improves and expands upon our original June 2020 goals and commitments, many elements are interwoven. To hold ourselves accountable, we will </w:t>
      </w:r>
      <w:r w:rsidR="00147AEF">
        <w:rPr>
          <w:rFonts w:eastAsia="Times New Roman" w:cstheme="minorHAnsi"/>
        </w:rPr>
        <w:t xml:space="preserve">continue to </w:t>
      </w:r>
      <w:r>
        <w:rPr>
          <w:rFonts w:eastAsia="Times New Roman" w:cstheme="minorHAnsi"/>
        </w:rPr>
        <w:t xml:space="preserve">update the table below </w:t>
      </w:r>
      <w:r w:rsidR="00147AEF">
        <w:rPr>
          <w:rFonts w:eastAsia="Times New Roman" w:cstheme="minorHAnsi"/>
        </w:rPr>
        <w:t>and</w:t>
      </w:r>
      <w:r>
        <w:rPr>
          <w:rFonts w:eastAsia="Times New Roman" w:cstheme="minorHAnsi"/>
        </w:rPr>
        <w:t xml:space="preserve"> show where we are making progress to achieve all goals</w:t>
      </w:r>
      <w:r w:rsidR="00CD7FA9">
        <w:rPr>
          <w:rFonts w:eastAsia="Times New Roman" w:cstheme="minorHAnsi"/>
        </w:rPr>
        <w:t xml:space="preserve"> of both the initial pledge and our expanded action plan</w:t>
      </w:r>
      <w:r>
        <w:rPr>
          <w:rFonts w:eastAsia="Times New Roman" w:cstheme="minorHAnsi"/>
        </w:rPr>
        <w:t>.</w:t>
      </w:r>
      <w:bookmarkStart w:id="0" w:name="_Hlk9875780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A01B2F" w:rsidRPr="000B36F6" w14:paraId="763F956D" w14:textId="77777777" w:rsidTr="00175B24">
        <w:tc>
          <w:tcPr>
            <w:tcW w:w="3595" w:type="dxa"/>
          </w:tcPr>
          <w:p w14:paraId="559F7596" w14:textId="561D63B9" w:rsidR="00A01B2F" w:rsidRPr="000B36F6" w:rsidRDefault="00406BBF" w:rsidP="00275816">
            <w:pPr>
              <w:rPr>
                <w:rFonts w:cstheme="minorHAnsi"/>
                <w:b/>
                <w:bCs/>
              </w:rPr>
            </w:pPr>
            <w:r w:rsidRPr="000B36F6">
              <w:rPr>
                <w:rFonts w:cstheme="minorHAnsi"/>
                <w:b/>
                <w:bCs/>
              </w:rPr>
              <w:t>Identified Goals and Commitments</w:t>
            </w:r>
          </w:p>
        </w:tc>
        <w:tc>
          <w:tcPr>
            <w:tcW w:w="5755" w:type="dxa"/>
          </w:tcPr>
          <w:p w14:paraId="616EE477" w14:textId="57FCC50E" w:rsidR="00A01B2F" w:rsidRPr="000B36F6" w:rsidRDefault="007B0EF2" w:rsidP="00275816">
            <w:pPr>
              <w:rPr>
                <w:rFonts w:cstheme="minorHAnsi"/>
                <w:b/>
                <w:bCs/>
              </w:rPr>
            </w:pPr>
            <w:r w:rsidRPr="000B36F6">
              <w:rPr>
                <w:rFonts w:cstheme="minorHAnsi"/>
                <w:b/>
                <w:bCs/>
              </w:rPr>
              <w:t>Progress Achieved as of April 2022</w:t>
            </w:r>
          </w:p>
        </w:tc>
      </w:tr>
      <w:tr w:rsidR="00A01B2F" w:rsidRPr="000B36F6" w14:paraId="4BB27C80" w14:textId="77777777" w:rsidTr="00175B24">
        <w:tc>
          <w:tcPr>
            <w:tcW w:w="3595" w:type="dxa"/>
          </w:tcPr>
          <w:p w14:paraId="00545B88" w14:textId="77777777" w:rsidR="00A01B2F" w:rsidRPr="000B36F6" w:rsidRDefault="00A01B2F" w:rsidP="00275816">
            <w:pPr>
              <w:rPr>
                <w:rFonts w:cstheme="minorHAnsi"/>
                <w:i/>
                <w:iCs/>
              </w:rPr>
            </w:pPr>
            <w:r w:rsidRPr="000B36F6">
              <w:rPr>
                <w:rFonts w:cstheme="minorHAnsi"/>
                <w:i/>
                <w:iCs/>
              </w:rPr>
              <w:t>Incorporate diversity, equity, and inclusivity into AMP’s Core Principles</w:t>
            </w:r>
          </w:p>
        </w:tc>
        <w:tc>
          <w:tcPr>
            <w:tcW w:w="5755" w:type="dxa"/>
          </w:tcPr>
          <w:p w14:paraId="1D581508" w14:textId="7933609A" w:rsidR="00A01B2F" w:rsidRPr="002B1FEA" w:rsidRDefault="00A01B2F" w:rsidP="002B1FE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2B1FEA">
              <w:rPr>
                <w:rFonts w:cstheme="minorHAnsi"/>
              </w:rPr>
              <w:t>Published in March 2022 following extensive input collection,</w:t>
            </w:r>
            <w:r w:rsidR="00175B24" w:rsidRPr="002B1FEA">
              <w:rPr>
                <w:rFonts w:cstheme="minorHAnsi"/>
              </w:rPr>
              <w:t xml:space="preserve"> as well as extensive</w:t>
            </w:r>
            <w:r w:rsidRPr="002B1FEA">
              <w:rPr>
                <w:rFonts w:cstheme="minorHAnsi"/>
              </w:rPr>
              <w:t xml:space="preserve"> Board of Directors’ discussion and review. </w:t>
            </w:r>
            <w:r w:rsidR="000B36F6" w:rsidRPr="002B1FEA">
              <w:rPr>
                <w:rFonts w:cstheme="minorHAnsi"/>
              </w:rPr>
              <w:t xml:space="preserve">Communicated to members and broader community through email and social media channels in </w:t>
            </w:r>
            <w:proofErr w:type="gramStart"/>
            <w:r w:rsidR="000B36F6" w:rsidRPr="002B1FEA">
              <w:rPr>
                <w:rFonts w:cstheme="minorHAnsi"/>
              </w:rPr>
              <w:t>April 2022</w:t>
            </w:r>
            <w:r w:rsidR="00663B9E" w:rsidRPr="002B1FEA">
              <w:rPr>
                <w:rFonts w:cstheme="minorHAnsi"/>
              </w:rPr>
              <w:t>, and</w:t>
            </w:r>
            <w:proofErr w:type="gramEnd"/>
            <w:r w:rsidR="00663B9E" w:rsidRPr="002B1FEA">
              <w:rPr>
                <w:rFonts w:cstheme="minorHAnsi"/>
              </w:rPr>
              <w:t xml:space="preserve"> will be focal highlight in 2022 Annual Report</w:t>
            </w:r>
            <w:r w:rsidR="000B36F6" w:rsidRPr="002B1FEA">
              <w:rPr>
                <w:rFonts w:cstheme="minorHAnsi"/>
              </w:rPr>
              <w:t xml:space="preserve">. </w:t>
            </w:r>
          </w:p>
          <w:p w14:paraId="40CF5468" w14:textId="6E8144C2" w:rsidR="002B1FEA" w:rsidRPr="002B1FEA" w:rsidRDefault="002B1FEA" w:rsidP="002B1FE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Goals from the AMP DEI Action Plan to be incorporated into the AMP Strategic Plan at the June 2022 Board of Directors meeting</w:t>
            </w:r>
          </w:p>
          <w:p w14:paraId="3F48174B" w14:textId="42B3CBF2" w:rsidR="002B1FEA" w:rsidRPr="002B1FEA" w:rsidRDefault="002B1FEA" w:rsidP="002B1FEA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Progress of Action Plan goals will be reviewed biannually at Board and staff meetings.</w:t>
            </w:r>
          </w:p>
        </w:tc>
      </w:tr>
      <w:tr w:rsidR="00A01B2F" w:rsidRPr="000B36F6" w14:paraId="66767615" w14:textId="77777777" w:rsidTr="00175B24">
        <w:tc>
          <w:tcPr>
            <w:tcW w:w="3595" w:type="dxa"/>
          </w:tcPr>
          <w:p w14:paraId="195F2414" w14:textId="77777777" w:rsidR="00A01B2F" w:rsidRPr="000B36F6" w:rsidRDefault="00A01B2F" w:rsidP="00275816">
            <w:pPr>
              <w:rPr>
                <w:rFonts w:cstheme="minorHAnsi"/>
                <w:i/>
                <w:iCs/>
              </w:rPr>
            </w:pPr>
            <w:r w:rsidRPr="000B36F6">
              <w:rPr>
                <w:rFonts w:cstheme="minorHAnsi"/>
                <w:i/>
                <w:iCs/>
              </w:rPr>
              <w:lastRenderedPageBreak/>
              <w:t>Introduce award and membership grant opportunities for underrepresented groups in science and medicine</w:t>
            </w:r>
          </w:p>
        </w:tc>
        <w:tc>
          <w:tcPr>
            <w:tcW w:w="5755" w:type="dxa"/>
          </w:tcPr>
          <w:p w14:paraId="7ED0F82B" w14:textId="59C79794" w:rsidR="007B0EF2" w:rsidRPr="000B36F6" w:rsidRDefault="007B0EF2" w:rsidP="00093EF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B36F6">
              <w:rPr>
                <w:rFonts w:cstheme="minorHAnsi"/>
              </w:rPr>
              <w:t xml:space="preserve">New </w:t>
            </w:r>
            <w:hyperlink r:id="rId10" w:history="1">
              <w:r w:rsidRPr="000B36F6">
                <w:rPr>
                  <w:rStyle w:val="Hyperlink"/>
                  <w:rFonts w:cstheme="minorHAnsi"/>
                </w:rPr>
                <w:t>Underrepresented in Medicine Membership and Travel Awards</w:t>
              </w:r>
            </w:hyperlink>
            <w:r w:rsidRPr="000B36F6">
              <w:rPr>
                <w:rFonts w:cstheme="minorHAnsi"/>
              </w:rPr>
              <w:t xml:space="preserve"> launched in September 2020, </w:t>
            </w:r>
            <w:r w:rsidR="00093EF7" w:rsidRPr="000B36F6">
              <w:rPr>
                <w:rFonts w:cstheme="minorHAnsi"/>
              </w:rPr>
              <w:t>to</w:t>
            </w:r>
            <w:r w:rsidR="00175B24" w:rsidRPr="000B36F6">
              <w:rPr>
                <w:rFonts w:cstheme="minorHAnsi"/>
              </w:rPr>
              <w:t xml:space="preserve"> be</w:t>
            </w:r>
            <w:r w:rsidRPr="000B36F6">
              <w:rPr>
                <w:rFonts w:cstheme="minorHAnsi"/>
              </w:rPr>
              <w:t xml:space="preserve"> offered annually</w:t>
            </w:r>
            <w:r w:rsidR="00093EF7" w:rsidRPr="000B36F6">
              <w:rPr>
                <w:rFonts w:cstheme="minorHAnsi"/>
              </w:rPr>
              <w:t xml:space="preserve"> going forward</w:t>
            </w:r>
            <w:r w:rsidRPr="000B36F6">
              <w:rPr>
                <w:rFonts w:cstheme="minorHAnsi"/>
              </w:rPr>
              <w:t>.</w:t>
            </w:r>
          </w:p>
          <w:p w14:paraId="293B63F5" w14:textId="71A1C392" w:rsidR="00A01B2F" w:rsidRPr="00027A4E" w:rsidRDefault="007B0EF2" w:rsidP="0027581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B36F6">
              <w:rPr>
                <w:rFonts w:cstheme="minorHAnsi"/>
                <w:color w:val="000000" w:themeColor="text1"/>
              </w:rPr>
              <w:t xml:space="preserve">Associate Membership </w:t>
            </w:r>
            <w:r w:rsidR="00093EF7" w:rsidRPr="000B36F6">
              <w:rPr>
                <w:rFonts w:cstheme="minorHAnsi"/>
                <w:color w:val="000000" w:themeColor="text1"/>
              </w:rPr>
              <w:t xml:space="preserve">made </w:t>
            </w:r>
            <w:r w:rsidRPr="000B36F6">
              <w:rPr>
                <w:rFonts w:cstheme="minorHAnsi"/>
                <w:color w:val="000000" w:themeColor="text1"/>
              </w:rPr>
              <w:t xml:space="preserve">free to </w:t>
            </w:r>
            <w:r w:rsidR="00663B9E">
              <w:rPr>
                <w:rFonts w:cstheme="minorHAnsi"/>
                <w:color w:val="000000" w:themeColor="text1"/>
              </w:rPr>
              <w:t xml:space="preserve">all </w:t>
            </w:r>
            <w:r w:rsidRPr="000B36F6">
              <w:rPr>
                <w:rFonts w:cstheme="minorHAnsi"/>
                <w:color w:val="000000" w:themeColor="text1"/>
              </w:rPr>
              <w:t>qualifying students, residents and post-docs</w:t>
            </w:r>
            <w:r w:rsidR="00093EF7" w:rsidRPr="000B36F6">
              <w:rPr>
                <w:rFonts w:cstheme="minorHAnsi"/>
                <w:color w:val="000000" w:themeColor="text1"/>
              </w:rPr>
              <w:t xml:space="preserve"> </w:t>
            </w:r>
            <w:r w:rsidR="00663B9E">
              <w:rPr>
                <w:rFonts w:cstheme="minorHAnsi"/>
                <w:color w:val="000000" w:themeColor="text1"/>
              </w:rPr>
              <w:t>starting in</w:t>
            </w:r>
            <w:r w:rsidRPr="000B36F6">
              <w:rPr>
                <w:rFonts w:cstheme="minorHAnsi"/>
                <w:color w:val="000000" w:themeColor="text1"/>
              </w:rPr>
              <w:t xml:space="preserve"> January 2021.</w:t>
            </w:r>
          </w:p>
        </w:tc>
      </w:tr>
      <w:tr w:rsidR="00A01B2F" w:rsidRPr="000B36F6" w14:paraId="3CCDA78D" w14:textId="77777777" w:rsidTr="00175B24">
        <w:tc>
          <w:tcPr>
            <w:tcW w:w="3595" w:type="dxa"/>
          </w:tcPr>
          <w:p w14:paraId="699CF9CA" w14:textId="77777777" w:rsidR="00A01B2F" w:rsidRPr="000B36F6" w:rsidRDefault="00A01B2F" w:rsidP="00275816">
            <w:pPr>
              <w:rPr>
                <w:rFonts w:cstheme="minorHAnsi"/>
                <w:i/>
                <w:iCs/>
              </w:rPr>
            </w:pPr>
            <w:r w:rsidRPr="000B36F6">
              <w:rPr>
                <w:rFonts w:cstheme="minorHAnsi"/>
                <w:i/>
                <w:iCs/>
              </w:rPr>
              <w:t xml:space="preserve">Task all AMP Committees with incorporating diversity, </w:t>
            </w:r>
            <w:proofErr w:type="gramStart"/>
            <w:r w:rsidRPr="000B36F6">
              <w:rPr>
                <w:rFonts w:cstheme="minorHAnsi"/>
                <w:i/>
                <w:iCs/>
              </w:rPr>
              <w:t>equity</w:t>
            </w:r>
            <w:proofErr w:type="gramEnd"/>
            <w:r w:rsidRPr="000B36F6">
              <w:rPr>
                <w:rFonts w:cstheme="minorHAnsi"/>
                <w:i/>
                <w:iCs/>
              </w:rPr>
              <w:t xml:space="preserve"> and inclusion in their work</w:t>
            </w:r>
          </w:p>
        </w:tc>
        <w:tc>
          <w:tcPr>
            <w:tcW w:w="5755" w:type="dxa"/>
          </w:tcPr>
          <w:p w14:paraId="48A7A5F3" w14:textId="77777777" w:rsidR="00A01B2F" w:rsidRDefault="00406BBF" w:rsidP="00663B9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663B9E">
              <w:rPr>
                <w:rFonts w:cstheme="minorHAnsi"/>
              </w:rPr>
              <w:t>Launched an educational program to provide the AMP Board of Directors</w:t>
            </w:r>
            <w:r w:rsidR="0006705A" w:rsidRPr="00663B9E">
              <w:rPr>
                <w:rFonts w:cstheme="minorHAnsi"/>
              </w:rPr>
              <w:t>, staff,</w:t>
            </w:r>
            <w:r w:rsidRPr="00663B9E">
              <w:rPr>
                <w:rFonts w:cstheme="minorHAnsi"/>
              </w:rPr>
              <w:t xml:space="preserve"> and volunteers with training </w:t>
            </w:r>
            <w:r w:rsidR="0006705A" w:rsidRPr="00663B9E">
              <w:rPr>
                <w:rFonts w:cstheme="minorHAnsi"/>
              </w:rPr>
              <w:t>incorporating diversity, equity, and inclusion into their work with AMP</w:t>
            </w:r>
            <w:r w:rsidR="000B36F6" w:rsidRPr="00663B9E">
              <w:rPr>
                <w:rFonts w:cstheme="minorHAnsi"/>
              </w:rPr>
              <w:t xml:space="preserve">. </w:t>
            </w:r>
          </w:p>
          <w:p w14:paraId="6AFE674B" w14:textId="6477EB52" w:rsidR="00663B9E" w:rsidRPr="00663B9E" w:rsidRDefault="00663B9E" w:rsidP="00663B9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Additional committee-specific efforts</w:t>
            </w:r>
            <w:r w:rsidR="00027A4E">
              <w:rPr>
                <w:rFonts w:cstheme="minorHAnsi"/>
              </w:rPr>
              <w:t xml:space="preserve"> are</w:t>
            </w:r>
            <w:r>
              <w:rPr>
                <w:rFonts w:cstheme="minorHAnsi"/>
              </w:rPr>
              <w:t xml:space="preserve"> in progress</w:t>
            </w:r>
            <w:r w:rsidR="00027A4E">
              <w:rPr>
                <w:rFonts w:cstheme="minorHAnsi"/>
              </w:rPr>
              <w:t>.</w:t>
            </w:r>
          </w:p>
        </w:tc>
      </w:tr>
      <w:tr w:rsidR="00A01B2F" w:rsidRPr="000B36F6" w14:paraId="02750FF7" w14:textId="77777777" w:rsidTr="00175B24">
        <w:tc>
          <w:tcPr>
            <w:tcW w:w="3595" w:type="dxa"/>
          </w:tcPr>
          <w:p w14:paraId="38A19714" w14:textId="77777777" w:rsidR="00A01B2F" w:rsidRPr="000B36F6" w:rsidRDefault="00A01B2F" w:rsidP="00275816">
            <w:pPr>
              <w:rPr>
                <w:rFonts w:cstheme="minorHAnsi"/>
                <w:i/>
                <w:iCs/>
              </w:rPr>
            </w:pPr>
            <w:r w:rsidRPr="000B36F6">
              <w:rPr>
                <w:rFonts w:cstheme="minorHAnsi"/>
                <w:i/>
                <w:iCs/>
              </w:rPr>
              <w:t>Build explicit directives for diversity, equity, and inclusivity into the policies that govern how we select speakers, volunteers, award winners, and our leadership</w:t>
            </w:r>
          </w:p>
        </w:tc>
        <w:tc>
          <w:tcPr>
            <w:tcW w:w="5755" w:type="dxa"/>
          </w:tcPr>
          <w:p w14:paraId="2705032D" w14:textId="7E526BF1" w:rsidR="00D25A7C" w:rsidRDefault="00D25A7C" w:rsidP="007B0EF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By end of 2022, AMP seeks to increase collection of membership demographic data by 45%, to have a better understanding of our community and the DEI challenges our membership face. </w:t>
            </w:r>
          </w:p>
          <w:p w14:paraId="3B03F4E3" w14:textId="49A8146E" w:rsidR="00D25A7C" w:rsidRDefault="00D25A7C" w:rsidP="007B0EF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D25A7C">
              <w:rPr>
                <w:rFonts w:cstheme="minorHAnsi"/>
              </w:rPr>
              <w:t xml:space="preserve">hroughout 2022, </w:t>
            </w:r>
            <w:r>
              <w:rPr>
                <w:rFonts w:cstheme="minorHAnsi"/>
              </w:rPr>
              <w:t>we are working to revise</w:t>
            </w:r>
            <w:r w:rsidRPr="00D25A7C">
              <w:rPr>
                <w:rFonts w:cstheme="minorHAnsi"/>
              </w:rPr>
              <w:t xml:space="preserve"> nominating and appointment processes to mitigate bias and ensure diverse candidate slate and leadership pipeline.</w:t>
            </w:r>
          </w:p>
          <w:p w14:paraId="5024A8DC" w14:textId="3D87141B" w:rsidR="00D25A7C" w:rsidRDefault="00D25A7C" w:rsidP="007B0EF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D25A7C">
              <w:rPr>
                <w:rFonts w:cstheme="minorHAnsi"/>
              </w:rPr>
              <w:t xml:space="preserve">Starting in 2022, </w:t>
            </w:r>
            <w:r>
              <w:rPr>
                <w:rFonts w:cstheme="minorHAnsi"/>
              </w:rPr>
              <w:t xml:space="preserve">AMP is working with ASIP to </w:t>
            </w:r>
            <w:r w:rsidRPr="00D25A7C">
              <w:rPr>
                <w:rFonts w:cstheme="minorHAnsi"/>
              </w:rPr>
              <w:t xml:space="preserve">ensure </w:t>
            </w:r>
            <w:r>
              <w:rPr>
                <w:rFonts w:cstheme="minorHAnsi"/>
              </w:rPr>
              <w:t xml:space="preserve">the </w:t>
            </w:r>
            <w:r>
              <w:rPr>
                <w:rFonts w:cstheme="minorHAnsi"/>
                <w:i/>
                <w:iCs/>
              </w:rPr>
              <w:t xml:space="preserve">Journal of Molecular Diagnostics </w:t>
            </w:r>
            <w:r w:rsidRPr="00D25A7C">
              <w:rPr>
                <w:rFonts w:cstheme="minorHAnsi"/>
              </w:rPr>
              <w:t>Editors, Editorial Board and Reviewers are diverse; ensure that the journal review process is transparent and lacks bias.</w:t>
            </w:r>
          </w:p>
          <w:p w14:paraId="568D77BD" w14:textId="17FC9283" w:rsidR="007706AF" w:rsidRDefault="00D25A7C" w:rsidP="00D25A7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Existing policies such as the </w:t>
            </w:r>
            <w:r w:rsidR="007706AF">
              <w:rPr>
                <w:rFonts w:cstheme="minorHAnsi"/>
              </w:rPr>
              <w:t>AMP Code of Conduct</w:t>
            </w:r>
            <w:r>
              <w:rPr>
                <w:rFonts w:cstheme="minorHAnsi"/>
              </w:rPr>
              <w:t xml:space="preserve"> and CHAMP posting policy </w:t>
            </w:r>
            <w:r w:rsidR="00533735">
              <w:rPr>
                <w:rFonts w:cstheme="minorHAnsi"/>
              </w:rPr>
              <w:t>will be</w:t>
            </w:r>
            <w:r>
              <w:rPr>
                <w:rFonts w:cstheme="minorHAnsi"/>
              </w:rPr>
              <w:t xml:space="preserve"> reviewed and disseminated annually. </w:t>
            </w:r>
            <w:r w:rsidR="007706AF">
              <w:rPr>
                <w:rFonts w:cstheme="minorHAnsi"/>
              </w:rPr>
              <w:t xml:space="preserve"> </w:t>
            </w:r>
          </w:p>
          <w:p w14:paraId="2276772C" w14:textId="3ECE157E" w:rsidR="00EE5504" w:rsidRDefault="00147AEF" w:rsidP="007B0EF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AMP will c</w:t>
            </w:r>
            <w:r w:rsidR="00EE5504">
              <w:rPr>
                <w:rFonts w:cstheme="minorHAnsi"/>
              </w:rPr>
              <w:t xml:space="preserve">ontinue to </w:t>
            </w:r>
            <w:r w:rsidR="00194726">
              <w:rPr>
                <w:rFonts w:cstheme="minorHAnsi"/>
              </w:rPr>
              <w:t xml:space="preserve">collect, </w:t>
            </w:r>
            <w:proofErr w:type="gramStart"/>
            <w:r w:rsidR="00EE5504">
              <w:rPr>
                <w:rFonts w:cstheme="minorHAnsi"/>
              </w:rPr>
              <w:t>monitor</w:t>
            </w:r>
            <w:proofErr w:type="gramEnd"/>
            <w:r w:rsidR="00EE5504">
              <w:rPr>
                <w:rFonts w:cstheme="minorHAnsi"/>
              </w:rPr>
              <w:t xml:space="preserve"> and evaluate member and staff DEI feedback, updating strategy as neede</w:t>
            </w:r>
            <w:r w:rsidR="00194726">
              <w:rPr>
                <w:rFonts w:cstheme="minorHAnsi"/>
              </w:rPr>
              <w:t>d</w:t>
            </w:r>
            <w:r w:rsidR="00EE5504">
              <w:rPr>
                <w:rFonts w:cstheme="minorHAnsi"/>
              </w:rPr>
              <w:t xml:space="preserve">. </w:t>
            </w:r>
          </w:p>
          <w:p w14:paraId="67D3F265" w14:textId="4E8D1674" w:rsidR="00ED5923" w:rsidRDefault="00027A4E" w:rsidP="007B0EF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By the end of 2022, AMP will i</w:t>
            </w:r>
            <w:r w:rsidR="00E14D6E">
              <w:rPr>
                <w:rFonts w:cstheme="minorHAnsi"/>
              </w:rPr>
              <w:t>dentify and plan timelines for future goals, such as “safe spaces” at AMP events for candid discussion from historically marginalized voices</w:t>
            </w:r>
            <w:r w:rsidR="00ED5923">
              <w:rPr>
                <w:rFonts w:cstheme="minorHAnsi"/>
              </w:rPr>
              <w:t>, and polling committee members during their onboarding process</w:t>
            </w:r>
            <w:r w:rsidR="00DF179B">
              <w:rPr>
                <w:rFonts w:cstheme="minorHAnsi"/>
              </w:rPr>
              <w:t xml:space="preserve"> regarding the</w:t>
            </w:r>
            <w:r w:rsidR="00ED5923">
              <w:rPr>
                <w:rFonts w:cstheme="minorHAnsi"/>
              </w:rPr>
              <w:t xml:space="preserve"> holidays/observances </w:t>
            </w:r>
            <w:r w:rsidR="00DF179B">
              <w:rPr>
                <w:rFonts w:cstheme="minorHAnsi"/>
              </w:rPr>
              <w:t xml:space="preserve">that </w:t>
            </w:r>
            <w:r w:rsidR="00ED5923">
              <w:rPr>
                <w:rFonts w:cstheme="minorHAnsi"/>
              </w:rPr>
              <w:t>should be observed during the</w:t>
            </w:r>
            <w:r w:rsidR="00DF179B">
              <w:rPr>
                <w:rFonts w:cstheme="minorHAnsi"/>
              </w:rPr>
              <w:t>ir</w:t>
            </w:r>
            <w:r w:rsidR="00ED5923">
              <w:rPr>
                <w:rFonts w:cstheme="minorHAnsi"/>
              </w:rPr>
              <w:t xml:space="preserve"> </w:t>
            </w:r>
            <w:proofErr w:type="gramStart"/>
            <w:r w:rsidR="00AA57F9">
              <w:rPr>
                <w:rFonts w:cstheme="minorHAnsi"/>
              </w:rPr>
              <w:t xml:space="preserve">particular </w:t>
            </w:r>
            <w:r w:rsidR="00ED5923">
              <w:rPr>
                <w:rFonts w:cstheme="minorHAnsi"/>
              </w:rPr>
              <w:t>group’s</w:t>
            </w:r>
            <w:proofErr w:type="gramEnd"/>
            <w:r w:rsidR="00ED5923">
              <w:rPr>
                <w:rFonts w:cstheme="minorHAnsi"/>
              </w:rPr>
              <w:t xml:space="preserve"> meeting schedule.</w:t>
            </w:r>
          </w:p>
          <w:p w14:paraId="07AB61AD" w14:textId="5F55E8CF" w:rsidR="00D25A7C" w:rsidRPr="00D25A7C" w:rsidRDefault="00D25A7C" w:rsidP="00D25A7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14D6E">
              <w:rPr>
                <w:rFonts w:cstheme="minorHAnsi"/>
              </w:rPr>
              <w:t>Starting in 2023,</w:t>
            </w:r>
            <w:r>
              <w:rPr>
                <w:rFonts w:cstheme="minorHAnsi"/>
              </w:rPr>
              <w:t xml:space="preserve"> AMP will </w:t>
            </w:r>
            <w:r w:rsidRPr="00E14D6E">
              <w:rPr>
                <w:rFonts w:cstheme="minorHAnsi"/>
              </w:rPr>
              <w:t>begin developing programs for underrepresented groups to enhance sense of belonging, promote diversity, and develop new leaders.</w:t>
            </w:r>
          </w:p>
          <w:p w14:paraId="46A3515C" w14:textId="62EDD1A3" w:rsidR="00E14D6E" w:rsidRPr="00027A4E" w:rsidRDefault="007706AF" w:rsidP="00027A4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Additional committee, award and leadership-specific policies</w:t>
            </w:r>
            <w:r w:rsidR="00027A4E">
              <w:rPr>
                <w:rFonts w:cstheme="minorHAnsi"/>
              </w:rPr>
              <w:t xml:space="preserve"> </w:t>
            </w:r>
            <w:r w:rsidR="0034227A">
              <w:rPr>
                <w:rFonts w:cstheme="minorHAnsi"/>
              </w:rPr>
              <w:t>are</w:t>
            </w:r>
            <w:r>
              <w:rPr>
                <w:rFonts w:cstheme="minorHAnsi"/>
              </w:rPr>
              <w:t xml:space="preserve"> i</w:t>
            </w:r>
            <w:r w:rsidR="00AF2997" w:rsidRPr="000B36F6">
              <w:rPr>
                <w:rFonts w:cstheme="minorHAnsi"/>
              </w:rPr>
              <w:t xml:space="preserve">n </w:t>
            </w:r>
            <w:r>
              <w:rPr>
                <w:rFonts w:cstheme="minorHAnsi"/>
              </w:rPr>
              <w:t>p</w:t>
            </w:r>
            <w:r w:rsidR="00AF2997" w:rsidRPr="000B36F6">
              <w:rPr>
                <w:rFonts w:cstheme="minorHAnsi"/>
              </w:rPr>
              <w:t>rogress</w:t>
            </w:r>
            <w:r w:rsidR="00027A4E">
              <w:rPr>
                <w:rFonts w:cstheme="minorHAnsi"/>
              </w:rPr>
              <w:t>.</w:t>
            </w:r>
          </w:p>
        </w:tc>
      </w:tr>
      <w:tr w:rsidR="00A01B2F" w:rsidRPr="000B36F6" w14:paraId="1640A539" w14:textId="77777777" w:rsidTr="00175B24">
        <w:tc>
          <w:tcPr>
            <w:tcW w:w="3595" w:type="dxa"/>
          </w:tcPr>
          <w:p w14:paraId="5FF22C87" w14:textId="77777777" w:rsidR="00A01B2F" w:rsidRPr="000B36F6" w:rsidRDefault="00A01B2F" w:rsidP="00275816">
            <w:pPr>
              <w:rPr>
                <w:rFonts w:cstheme="minorHAnsi"/>
                <w:i/>
                <w:iCs/>
              </w:rPr>
            </w:pPr>
            <w:r w:rsidRPr="000B36F6">
              <w:rPr>
                <w:rFonts w:cstheme="minorHAnsi"/>
                <w:i/>
                <w:iCs/>
              </w:rPr>
              <w:lastRenderedPageBreak/>
              <w:t>Continue our work to eliminate disparities in access to molecular testing through our public policy and advocacy efforts</w:t>
            </w:r>
          </w:p>
        </w:tc>
        <w:tc>
          <w:tcPr>
            <w:tcW w:w="5755" w:type="dxa"/>
          </w:tcPr>
          <w:p w14:paraId="4E0FCCFC" w14:textId="58904C7B" w:rsidR="00A01B2F" w:rsidRDefault="00257B15" w:rsidP="00A01B2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B36F6">
              <w:rPr>
                <w:rFonts w:cstheme="minorHAnsi"/>
              </w:rPr>
              <w:t xml:space="preserve">Continued </w:t>
            </w:r>
            <w:hyperlink r:id="rId11" w:history="1">
              <w:r w:rsidRPr="000B36F6">
                <w:rPr>
                  <w:rStyle w:val="Hyperlink"/>
                  <w:rFonts w:cstheme="minorHAnsi"/>
                </w:rPr>
                <w:t>Patient Engagement Outreach</w:t>
              </w:r>
            </w:hyperlink>
            <w:r w:rsidRPr="000B36F6">
              <w:rPr>
                <w:rFonts w:cstheme="minorHAnsi"/>
              </w:rPr>
              <w:t xml:space="preserve"> efforts across a broad spectrum of cancers, rare &amp; infectious diseases, hosting semi-annual “Lunch and Learn” events and sharing resources on social media</w:t>
            </w:r>
            <w:r w:rsidR="0034227A">
              <w:rPr>
                <w:rFonts w:cstheme="minorHAnsi"/>
              </w:rPr>
              <w:t>.</w:t>
            </w:r>
          </w:p>
          <w:p w14:paraId="5532BB1A" w14:textId="62D3A18A" w:rsidR="00663B9E" w:rsidRPr="000B36F6" w:rsidRDefault="00663B9E" w:rsidP="00A01B2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Additional committee-specific efforts </w:t>
            </w:r>
            <w:r w:rsidR="0034227A">
              <w:rPr>
                <w:rFonts w:cstheme="minorHAnsi"/>
              </w:rPr>
              <w:t xml:space="preserve">are </w:t>
            </w:r>
            <w:r>
              <w:rPr>
                <w:rFonts w:cstheme="minorHAnsi"/>
              </w:rPr>
              <w:t>in progress</w:t>
            </w:r>
            <w:r w:rsidR="0034227A">
              <w:rPr>
                <w:rFonts w:cstheme="minorHAnsi"/>
              </w:rPr>
              <w:t>.</w:t>
            </w:r>
          </w:p>
        </w:tc>
      </w:tr>
      <w:tr w:rsidR="00A01B2F" w:rsidRPr="000B36F6" w14:paraId="50B2C27E" w14:textId="77777777" w:rsidTr="00175B24">
        <w:tc>
          <w:tcPr>
            <w:tcW w:w="3595" w:type="dxa"/>
          </w:tcPr>
          <w:p w14:paraId="490F27D7" w14:textId="77777777" w:rsidR="00A01B2F" w:rsidRPr="000B36F6" w:rsidRDefault="00A01B2F" w:rsidP="00275816">
            <w:pPr>
              <w:rPr>
                <w:rFonts w:cstheme="minorHAnsi"/>
                <w:i/>
                <w:iCs/>
              </w:rPr>
            </w:pPr>
            <w:r w:rsidRPr="000B36F6">
              <w:rPr>
                <w:rFonts w:cstheme="minorHAnsi"/>
                <w:i/>
                <w:iCs/>
              </w:rPr>
              <w:t>Provide specific education aimed at improving disparities in testing, particularly to address the challenges facing communities disproportionately impacted by the current COVID-19 pandemic</w:t>
            </w:r>
          </w:p>
        </w:tc>
        <w:tc>
          <w:tcPr>
            <w:tcW w:w="5755" w:type="dxa"/>
          </w:tcPr>
          <w:p w14:paraId="46AB1D77" w14:textId="7B6DD117" w:rsidR="00260A08" w:rsidRPr="00663B9E" w:rsidRDefault="00260A08" w:rsidP="00663B9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B36F6">
              <w:rPr>
                <w:rFonts w:cstheme="minorHAnsi"/>
              </w:rPr>
              <w:t xml:space="preserve">AMP’s Infectious Diseases Subdivision Leadership – as well as many members writing independently - published </w:t>
            </w:r>
            <w:hyperlink r:id="rId12" w:history="1">
              <w:r w:rsidRPr="000B36F6">
                <w:rPr>
                  <w:rStyle w:val="Hyperlink"/>
                  <w:rFonts w:cstheme="minorHAnsi"/>
                </w:rPr>
                <w:t>insightful analyses</w:t>
              </w:r>
            </w:hyperlink>
            <w:r w:rsidRPr="000B36F6">
              <w:rPr>
                <w:rFonts w:cstheme="minorHAnsi"/>
              </w:rPr>
              <w:t xml:space="preserve"> of the early months of the U.S. outbreak and provide recommendations for improving the nation’s response to future pandemics.</w:t>
            </w:r>
          </w:p>
          <w:p w14:paraId="2C17E34C" w14:textId="77303A91" w:rsidR="00663B9E" w:rsidRPr="00663B9E" w:rsidRDefault="00260A08" w:rsidP="00663B9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B36F6">
              <w:rPr>
                <w:rFonts w:cstheme="minorHAnsi"/>
              </w:rPr>
              <w:t>In 2020, AMP experienced a 300% increase in media inquiries for member subject matter experts, with responses facilitated by AMP staff. Many AMP members also used their voices</w:t>
            </w:r>
            <w:r w:rsidR="005843D7" w:rsidRPr="000B36F6">
              <w:rPr>
                <w:rFonts w:cstheme="minorHAnsi"/>
              </w:rPr>
              <w:t xml:space="preserve"> independently</w:t>
            </w:r>
            <w:r w:rsidRPr="000B36F6">
              <w:rPr>
                <w:rFonts w:cstheme="minorHAnsi"/>
              </w:rPr>
              <w:t xml:space="preserve"> to help educate the media and public about ongoing issues, including the disproportionate </w:t>
            </w:r>
            <w:r w:rsidR="005843D7" w:rsidRPr="000B36F6">
              <w:rPr>
                <w:rFonts w:cstheme="minorHAnsi"/>
              </w:rPr>
              <w:t xml:space="preserve">testing </w:t>
            </w:r>
            <w:r w:rsidRPr="000B36F6">
              <w:rPr>
                <w:rFonts w:cstheme="minorHAnsi"/>
              </w:rPr>
              <w:t xml:space="preserve">challenges </w:t>
            </w:r>
            <w:r w:rsidR="005843D7" w:rsidRPr="000B36F6">
              <w:rPr>
                <w:rFonts w:cstheme="minorHAnsi"/>
              </w:rPr>
              <w:t>impacting</w:t>
            </w:r>
            <w:r w:rsidRPr="000B36F6">
              <w:rPr>
                <w:rFonts w:cstheme="minorHAnsi"/>
              </w:rPr>
              <w:t xml:space="preserve"> minority communities. </w:t>
            </w:r>
          </w:p>
          <w:p w14:paraId="65783C6B" w14:textId="1D91F361" w:rsidR="00260A08" w:rsidRPr="00027A4E" w:rsidRDefault="00663B9E" w:rsidP="00260A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Additional subdivision and committee-specific efforts </w:t>
            </w:r>
            <w:r w:rsidR="0034227A">
              <w:rPr>
                <w:rFonts w:cstheme="minorHAnsi"/>
              </w:rPr>
              <w:t>are</w:t>
            </w:r>
            <w:r w:rsidR="00027A4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progress</w:t>
            </w:r>
            <w:r w:rsidR="00027A4E">
              <w:rPr>
                <w:rFonts w:cstheme="minorHAnsi"/>
              </w:rPr>
              <w:t>.</w:t>
            </w:r>
          </w:p>
        </w:tc>
      </w:tr>
      <w:tr w:rsidR="00A01B2F" w:rsidRPr="000B36F6" w14:paraId="5884C4B0" w14:textId="77777777" w:rsidTr="00175B24">
        <w:tc>
          <w:tcPr>
            <w:tcW w:w="3595" w:type="dxa"/>
          </w:tcPr>
          <w:p w14:paraId="74DC2BA5" w14:textId="77777777" w:rsidR="00A01B2F" w:rsidRPr="000B36F6" w:rsidRDefault="00A01B2F" w:rsidP="00275816">
            <w:pPr>
              <w:rPr>
                <w:rFonts w:cstheme="minorHAnsi"/>
                <w:i/>
                <w:iCs/>
              </w:rPr>
            </w:pPr>
            <w:r w:rsidRPr="000B36F6">
              <w:rPr>
                <w:rFonts w:cstheme="minorHAnsi"/>
                <w:i/>
                <w:iCs/>
              </w:rPr>
              <w:t>Share resources with the AMP member community on ways to cultivate inclusion and address discrimination at our institutions, companies, and within our own laboratories</w:t>
            </w:r>
          </w:p>
        </w:tc>
        <w:tc>
          <w:tcPr>
            <w:tcW w:w="5755" w:type="dxa"/>
          </w:tcPr>
          <w:p w14:paraId="3D834AE8" w14:textId="6563B3BA" w:rsidR="00A01B2F" w:rsidRPr="000B36F6" w:rsidRDefault="00A01B2F" w:rsidP="00A01B2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B36F6">
              <w:rPr>
                <w:rFonts w:cstheme="minorHAnsi"/>
              </w:rPr>
              <w:t xml:space="preserve">In February 2022, </w:t>
            </w:r>
            <w:r w:rsidR="004138F6">
              <w:rPr>
                <w:rFonts w:cstheme="minorHAnsi"/>
              </w:rPr>
              <w:t>AMP</w:t>
            </w:r>
            <w:r w:rsidRPr="000B36F6">
              <w:rPr>
                <w:rFonts w:cstheme="minorHAnsi"/>
              </w:rPr>
              <w:t xml:space="preserve"> DEI Working Group launched </w:t>
            </w:r>
            <w:r w:rsidR="004138F6">
              <w:rPr>
                <w:rFonts w:cstheme="minorHAnsi"/>
              </w:rPr>
              <w:t>a</w:t>
            </w:r>
            <w:r w:rsidRPr="000B36F6">
              <w:rPr>
                <w:rFonts w:cstheme="minorHAnsi"/>
              </w:rPr>
              <w:t xml:space="preserve"> Virtual</w:t>
            </w:r>
            <w:r w:rsidR="004138F6">
              <w:rPr>
                <w:rFonts w:cstheme="minorHAnsi"/>
              </w:rPr>
              <w:t xml:space="preserve"> </w:t>
            </w:r>
            <w:r w:rsidRPr="000B36F6">
              <w:rPr>
                <w:rFonts w:cstheme="minorHAnsi"/>
              </w:rPr>
              <w:t>Member Engagement Event series. These events are designed to inspire conversation and change, both in AMP members’ workplaces and training programs.</w:t>
            </w:r>
          </w:p>
          <w:p w14:paraId="7E212491" w14:textId="6AD5418D" w:rsidR="00A01B2F" w:rsidRPr="00027A4E" w:rsidRDefault="00A01B2F" w:rsidP="0027581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B36F6">
              <w:rPr>
                <w:rFonts w:cstheme="minorHAnsi"/>
              </w:rPr>
              <w:t xml:space="preserve">By end of 2022, we will have </w:t>
            </w:r>
            <w:r w:rsidR="00A9013D" w:rsidRPr="000B36F6">
              <w:rPr>
                <w:rFonts w:cstheme="minorHAnsi"/>
              </w:rPr>
              <w:t xml:space="preserve">a </w:t>
            </w:r>
            <w:r w:rsidRPr="000B36F6">
              <w:rPr>
                <w:rFonts w:cstheme="minorHAnsi"/>
              </w:rPr>
              <w:t>dedicate</w:t>
            </w:r>
            <w:r w:rsidR="00A9013D" w:rsidRPr="000B36F6">
              <w:rPr>
                <w:rFonts w:cstheme="minorHAnsi"/>
              </w:rPr>
              <w:t>d</w:t>
            </w:r>
            <w:r w:rsidRPr="000B36F6">
              <w:rPr>
                <w:rFonts w:cstheme="minorHAnsi"/>
              </w:rPr>
              <w:t xml:space="preserve"> webpage on our site to house resources that are of general interest to m</w:t>
            </w:r>
            <w:r w:rsidR="00A9013D" w:rsidRPr="000B36F6">
              <w:rPr>
                <w:rFonts w:cstheme="minorHAnsi"/>
              </w:rPr>
              <w:t xml:space="preserve">olecular professionals that </w:t>
            </w:r>
            <w:r w:rsidRPr="000B36F6">
              <w:rPr>
                <w:rFonts w:cstheme="minorHAnsi"/>
              </w:rPr>
              <w:t>seek to expand DEI considerations at their institutions</w:t>
            </w:r>
            <w:r w:rsidR="00A9013D" w:rsidRPr="000B36F6">
              <w:rPr>
                <w:rFonts w:cstheme="minorHAnsi"/>
              </w:rPr>
              <w:t>.</w:t>
            </w:r>
          </w:p>
        </w:tc>
      </w:tr>
      <w:tr w:rsidR="00A01B2F" w:rsidRPr="000B36F6" w14:paraId="0304D72F" w14:textId="77777777" w:rsidTr="00175B24">
        <w:tc>
          <w:tcPr>
            <w:tcW w:w="3595" w:type="dxa"/>
          </w:tcPr>
          <w:p w14:paraId="787A7112" w14:textId="77777777" w:rsidR="00A01B2F" w:rsidRPr="000B36F6" w:rsidRDefault="00A01B2F" w:rsidP="00275816">
            <w:pPr>
              <w:rPr>
                <w:rFonts w:cstheme="minorHAnsi"/>
                <w:i/>
                <w:iCs/>
              </w:rPr>
            </w:pPr>
            <w:r w:rsidRPr="000B36F6">
              <w:rPr>
                <w:rFonts w:cstheme="minorHAnsi"/>
                <w:i/>
                <w:iCs/>
              </w:rPr>
              <w:t>With the leadership of our International Affairs Committee, partner together as a global community to oppose discrimination, in all its forms, and tackle the health disparities that are often the tragic results</w:t>
            </w:r>
          </w:p>
        </w:tc>
        <w:tc>
          <w:tcPr>
            <w:tcW w:w="5755" w:type="dxa"/>
          </w:tcPr>
          <w:p w14:paraId="0F93DC76" w14:textId="42D24D26" w:rsidR="00A01B2F" w:rsidRPr="000B36F6" w:rsidRDefault="00A01B2F" w:rsidP="00A9013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34227A">
              <w:rPr>
                <w:rFonts w:cstheme="minorHAnsi"/>
              </w:rPr>
              <w:t xml:space="preserve">In April 2020, AMP joined a multi-society sign-on </w:t>
            </w:r>
            <w:hyperlink r:id="rId13" w:history="1">
              <w:r w:rsidRPr="0034227A">
                <w:rPr>
                  <w:rStyle w:val="Hyperlink"/>
                  <w:rFonts w:cstheme="minorHAnsi"/>
                </w:rPr>
                <w:t>Letter to Support Congressional Resolution to Denounce Anti-Asian Discrimination as Related to COVID-</w:t>
              </w:r>
              <w:r w:rsidR="0034227A">
                <w:rPr>
                  <w:rStyle w:val="Hyperlink"/>
                  <w:rFonts w:cstheme="minorHAnsi"/>
                </w:rPr>
                <w:t>1</w:t>
              </w:r>
              <w:r w:rsidR="0034227A">
                <w:rPr>
                  <w:rStyle w:val="Hyperlink"/>
                </w:rPr>
                <w:t>9</w:t>
              </w:r>
            </w:hyperlink>
            <w:r w:rsidR="0034227A">
              <w:rPr>
                <w:rStyle w:val="Hyperlink"/>
                <w:rFonts w:cstheme="minorHAnsi"/>
              </w:rPr>
              <w:t>.</w:t>
            </w:r>
          </w:p>
          <w:p w14:paraId="367D6127" w14:textId="77777777" w:rsidR="00A01B2F" w:rsidRPr="000B36F6" w:rsidRDefault="00A01B2F" w:rsidP="00A01B2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B36F6">
              <w:rPr>
                <w:rFonts w:cstheme="minorHAnsi"/>
              </w:rPr>
              <w:t xml:space="preserve">In September 2020, AMP supported U.S. House Science Chairwoman Johnson’s </w:t>
            </w:r>
            <w:hyperlink r:id="rId14" w:history="1">
              <w:r w:rsidRPr="000B36F6">
                <w:rPr>
                  <w:rStyle w:val="Hyperlink"/>
                  <w:rFonts w:cstheme="minorHAnsi"/>
                </w:rPr>
                <w:t>call for a NASEM study</w:t>
              </w:r>
            </w:hyperlink>
            <w:r w:rsidRPr="000B36F6">
              <w:rPr>
                <w:rFonts w:cstheme="minorHAnsi"/>
              </w:rPr>
              <w:t xml:space="preserve"> to “identify policies, strategies and practices that have been the most successful in preventing and addressing systemic racism” in academia.</w:t>
            </w:r>
          </w:p>
        </w:tc>
      </w:tr>
      <w:tr w:rsidR="00A01B2F" w:rsidRPr="000B36F6" w14:paraId="6C6C2E49" w14:textId="77777777" w:rsidTr="00175B24">
        <w:tc>
          <w:tcPr>
            <w:tcW w:w="3595" w:type="dxa"/>
          </w:tcPr>
          <w:p w14:paraId="6BBFDA86" w14:textId="77777777" w:rsidR="00A01B2F" w:rsidRPr="000B36F6" w:rsidRDefault="00A01B2F" w:rsidP="00275816">
            <w:pPr>
              <w:rPr>
                <w:rFonts w:cstheme="minorHAnsi"/>
                <w:i/>
                <w:iCs/>
              </w:rPr>
            </w:pPr>
            <w:r w:rsidRPr="000B36F6">
              <w:rPr>
                <w:rFonts w:cstheme="minorHAnsi"/>
                <w:i/>
                <w:iCs/>
              </w:rPr>
              <w:t>With the leadership of the Membership Affairs Committee, create a working group to recommend, monitor, and document our progress. (Note: A working group is the first step in AMP’s governance process to form new committees.</w:t>
            </w:r>
          </w:p>
          <w:p w14:paraId="3A2F2637" w14:textId="77777777" w:rsidR="00A01B2F" w:rsidRPr="000B36F6" w:rsidRDefault="00A01B2F" w:rsidP="00275816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755" w:type="dxa"/>
          </w:tcPr>
          <w:p w14:paraId="5677A88E" w14:textId="45E783C5" w:rsidR="00A01B2F" w:rsidRPr="00027A4E" w:rsidRDefault="007D576D" w:rsidP="00DD796A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u w:val="none"/>
              </w:rPr>
            </w:pPr>
            <w:hyperlink r:id="rId15" w:history="1">
              <w:r w:rsidR="0034227A">
                <w:rPr>
                  <w:rStyle w:val="Hyperlink"/>
                  <w:rFonts w:cstheme="minorHAnsi"/>
                </w:rPr>
                <w:t>D</w:t>
              </w:r>
              <w:r w:rsidR="0034227A">
                <w:rPr>
                  <w:rStyle w:val="Hyperlink"/>
                </w:rPr>
                <w:t>EI Working Group f</w:t>
              </w:r>
              <w:r w:rsidR="00DD796A" w:rsidRPr="00DD796A">
                <w:rPr>
                  <w:rStyle w:val="Hyperlink"/>
                  <w:rFonts w:cstheme="minorHAnsi"/>
                </w:rPr>
                <w:t>ormed in April 2021</w:t>
              </w:r>
            </w:hyperlink>
          </w:p>
          <w:p w14:paraId="3DD9ED2A" w14:textId="22E2A38A" w:rsidR="00027A4E" w:rsidRPr="00DD796A" w:rsidRDefault="00027A4E" w:rsidP="00DD79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Additional Membership Affairs Committee and DEI working group-specific efforts are in progress.</w:t>
            </w:r>
          </w:p>
        </w:tc>
      </w:tr>
      <w:bookmarkEnd w:id="0"/>
    </w:tbl>
    <w:p w14:paraId="202CF918" w14:textId="77777777" w:rsidR="00A01B2F" w:rsidRPr="000B36F6" w:rsidRDefault="00A01B2F" w:rsidP="00A01B2F">
      <w:pPr>
        <w:rPr>
          <w:rFonts w:cstheme="minorHAnsi"/>
        </w:rPr>
      </w:pPr>
    </w:p>
    <w:sectPr w:rsidR="00A01B2F" w:rsidRPr="000B3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2E00"/>
    <w:multiLevelType w:val="hybridMultilevel"/>
    <w:tmpl w:val="DB54B5F6"/>
    <w:lvl w:ilvl="0" w:tplc="8CC00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C2E28"/>
    <w:multiLevelType w:val="hybridMultilevel"/>
    <w:tmpl w:val="E6CA8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AB13B3"/>
    <w:multiLevelType w:val="hybridMultilevel"/>
    <w:tmpl w:val="7E760546"/>
    <w:lvl w:ilvl="0" w:tplc="1B44461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32323"/>
    <w:multiLevelType w:val="hybridMultilevel"/>
    <w:tmpl w:val="9DC65BCE"/>
    <w:lvl w:ilvl="0" w:tplc="D592ED8C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A662F"/>
    <w:multiLevelType w:val="hybridMultilevel"/>
    <w:tmpl w:val="A008BAD8"/>
    <w:lvl w:ilvl="0" w:tplc="D038A05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459359">
    <w:abstractNumId w:val="1"/>
  </w:num>
  <w:num w:numId="2" w16cid:durableId="1966696742">
    <w:abstractNumId w:val="4"/>
  </w:num>
  <w:num w:numId="3" w16cid:durableId="1676103935">
    <w:abstractNumId w:val="3"/>
  </w:num>
  <w:num w:numId="4" w16cid:durableId="1404136023">
    <w:abstractNumId w:val="0"/>
  </w:num>
  <w:num w:numId="5" w16cid:durableId="301741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2F"/>
    <w:rsid w:val="00027A4E"/>
    <w:rsid w:val="00032E41"/>
    <w:rsid w:val="0006705A"/>
    <w:rsid w:val="00093EF7"/>
    <w:rsid w:val="00096BBD"/>
    <w:rsid w:val="000B36F6"/>
    <w:rsid w:val="000E75F8"/>
    <w:rsid w:val="00116BE3"/>
    <w:rsid w:val="00134748"/>
    <w:rsid w:val="00147AEF"/>
    <w:rsid w:val="00175B24"/>
    <w:rsid w:val="00194726"/>
    <w:rsid w:val="00257B15"/>
    <w:rsid w:val="00260A08"/>
    <w:rsid w:val="002B1FEA"/>
    <w:rsid w:val="0034227A"/>
    <w:rsid w:val="0037455A"/>
    <w:rsid w:val="003C61E5"/>
    <w:rsid w:val="00406BBF"/>
    <w:rsid w:val="004138F6"/>
    <w:rsid w:val="0043501F"/>
    <w:rsid w:val="00485CAC"/>
    <w:rsid w:val="00494041"/>
    <w:rsid w:val="004B3AC8"/>
    <w:rsid w:val="004D4510"/>
    <w:rsid w:val="004E19E6"/>
    <w:rsid w:val="00533735"/>
    <w:rsid w:val="00547E80"/>
    <w:rsid w:val="00565774"/>
    <w:rsid w:val="00566FFA"/>
    <w:rsid w:val="005843D7"/>
    <w:rsid w:val="006558BF"/>
    <w:rsid w:val="00663B9E"/>
    <w:rsid w:val="00675B32"/>
    <w:rsid w:val="007706AF"/>
    <w:rsid w:val="007B0EF2"/>
    <w:rsid w:val="007D576D"/>
    <w:rsid w:val="008D6467"/>
    <w:rsid w:val="00976E2B"/>
    <w:rsid w:val="00A01B2F"/>
    <w:rsid w:val="00A9013D"/>
    <w:rsid w:val="00A91571"/>
    <w:rsid w:val="00AA57F9"/>
    <w:rsid w:val="00AF2997"/>
    <w:rsid w:val="00B716C5"/>
    <w:rsid w:val="00C03A24"/>
    <w:rsid w:val="00C549DB"/>
    <w:rsid w:val="00CD7FA9"/>
    <w:rsid w:val="00CE13B5"/>
    <w:rsid w:val="00D25A7C"/>
    <w:rsid w:val="00DA1FE2"/>
    <w:rsid w:val="00DB3C9B"/>
    <w:rsid w:val="00DD796A"/>
    <w:rsid w:val="00DF179B"/>
    <w:rsid w:val="00E14D6E"/>
    <w:rsid w:val="00E30B28"/>
    <w:rsid w:val="00E80F97"/>
    <w:rsid w:val="00ED5923"/>
    <w:rsid w:val="00EE5504"/>
    <w:rsid w:val="00F601ED"/>
    <w:rsid w:val="00F8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02BB"/>
  <w15:chartTrackingRefBased/>
  <w15:docId w15:val="{F6D20924-F953-400E-8847-277F6C11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B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B2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1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B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B2F"/>
    <w:rPr>
      <w:sz w:val="20"/>
      <w:szCs w:val="20"/>
    </w:rPr>
  </w:style>
  <w:style w:type="table" w:styleId="TableGrid">
    <w:name w:val="Table Grid"/>
    <w:basedOn w:val="TableNormal"/>
    <w:uiPriority w:val="39"/>
    <w:rsid w:val="00A0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1B2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57B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A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e.amp.org/local/catalog/view/product.php?productid=390" TargetMode="External"/><Relationship Id="rId13" Type="http://schemas.openxmlformats.org/officeDocument/2006/relationships/hyperlink" Target="https://www.amp.org/AMP/assets/File/advocacy/Multisociety%20Letter%20Stigmatization%20of%20Asians_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p.org/membership/diversity-equity-inclusion-working-group/" TargetMode="External"/><Relationship Id="rId12" Type="http://schemas.openxmlformats.org/officeDocument/2006/relationships/hyperlink" Target="https://www.jmdjournal.org/article/S1525-1578(20)30360-3/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hediversitymovement.com" TargetMode="External"/><Relationship Id="rId11" Type="http://schemas.openxmlformats.org/officeDocument/2006/relationships/hyperlink" Target="https://outreach.amp.org/" TargetMode="External"/><Relationship Id="rId5" Type="http://schemas.openxmlformats.org/officeDocument/2006/relationships/hyperlink" Target="https://www.amp.org/AMP/assets/File/pressreleases/2020/AMP_Statement_DEI.pdf" TargetMode="External"/><Relationship Id="rId15" Type="http://schemas.openxmlformats.org/officeDocument/2006/relationships/hyperlink" Target="https://www.amp.org/membership/diversity-equity-inclusion-working-group/" TargetMode="External"/><Relationship Id="rId10" Type="http://schemas.openxmlformats.org/officeDocument/2006/relationships/hyperlink" Target="https://www.amp.org/membership/awards-grants-hono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p.org/membership/awards-grants-honors/" TargetMode="External"/><Relationship Id="rId14" Type="http://schemas.openxmlformats.org/officeDocument/2006/relationships/hyperlink" Target="https://www.amp.org/AMP/assets/Sign-on-letter-NASEM-study-9-2-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Campbell</dc:creator>
  <cp:keywords/>
  <dc:description/>
  <cp:lastModifiedBy>Elisabeth Campbell</cp:lastModifiedBy>
  <cp:revision>3</cp:revision>
  <dcterms:created xsi:type="dcterms:W3CDTF">2022-04-07T15:00:00Z</dcterms:created>
  <dcterms:modified xsi:type="dcterms:W3CDTF">2022-04-07T15:00:00Z</dcterms:modified>
</cp:coreProperties>
</file>